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52A01" w:rsidRDefault="00152A01" w:rsidP="008F7522">
      <w:pPr>
        <w:jc w:val="center"/>
        <w:rPr>
          <w:rFonts w:ascii="Calibri" w:hAnsi="Calibri" w:cs="Calibri"/>
          <w:noProof/>
          <w:sz w:val="22"/>
          <w:szCs w:val="22"/>
          <w:lang w:val="es-ES" w:eastAsia="es-ES"/>
        </w:rPr>
      </w:pPr>
    </w:p>
    <w:p w:rsidR="00152A01" w:rsidRDefault="00152A01" w:rsidP="008F7522">
      <w:pPr>
        <w:jc w:val="center"/>
        <w:rPr>
          <w:rFonts w:ascii="Calibri" w:hAnsi="Calibri" w:cs="Calibri"/>
          <w:noProof/>
          <w:sz w:val="22"/>
          <w:szCs w:val="22"/>
          <w:lang w:val="es-ES" w:eastAsia="es-ES"/>
        </w:rPr>
      </w:pPr>
    </w:p>
    <w:p w:rsidR="008F7522" w:rsidRDefault="00152A01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152A01">
        <w:rPr>
          <w:rFonts w:ascii="Calibri" w:hAnsi="Calibri" w:cs="Calibri"/>
          <w:noProof/>
          <w:sz w:val="22"/>
          <w:szCs w:val="22"/>
          <w:lang w:val="es-ES" w:eastAsia="es-ES"/>
        </w:rPr>
        <w:drawing>
          <wp:inline distT="0" distB="0" distL="0" distR="0">
            <wp:extent cx="4750490" cy="5524500"/>
            <wp:effectExtent l="19050" t="0" r="0" b="0"/>
            <wp:docPr id="1" name="Imagen 1" descr="C:\Users\Carmen.Lara.CarmenLara-PC\Documents\PrintScreen Files\ScreenShot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men.Lara.CarmenLara-PC\Documents\PrintScreen Files\ScreenShot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32" cy="553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52A01" w:rsidRDefault="00152A01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152A01" w:rsidRDefault="008F7522" w:rsidP="008F7522">
      <w:pPr>
        <w:jc w:val="center"/>
        <w:rPr>
          <w:rFonts w:ascii="Calibri" w:hAnsi="Calibri" w:cs="Calibri"/>
          <w:color w:val="C00000"/>
          <w:sz w:val="22"/>
          <w:szCs w:val="22"/>
        </w:rPr>
      </w:pPr>
    </w:p>
    <w:p w:rsidR="008F7522" w:rsidRPr="00152A01" w:rsidRDefault="00152A01" w:rsidP="008F7522">
      <w:pPr>
        <w:jc w:val="center"/>
        <w:rPr>
          <w:rFonts w:ascii="Calibri" w:hAnsi="Calibri" w:cs="Calibri"/>
          <w:b/>
          <w:color w:val="C00000"/>
          <w:sz w:val="48"/>
          <w:szCs w:val="48"/>
        </w:rPr>
      </w:pPr>
      <w:r w:rsidRPr="00152A01">
        <w:rPr>
          <w:rFonts w:ascii="Calibri" w:hAnsi="Calibri" w:cs="Calibri"/>
          <w:b/>
          <w:color w:val="C00000"/>
          <w:sz w:val="48"/>
          <w:szCs w:val="48"/>
        </w:rPr>
        <w:t>Programación de aula</w:t>
      </w: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152A01" w:rsidRDefault="00152A01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62282E">
        <w:rPr>
          <w:rFonts w:ascii="Calibri" w:hAnsi="Calibri" w:cs="Calibri"/>
          <w:sz w:val="22"/>
          <w:szCs w:val="22"/>
          <w:u w:val="single"/>
        </w:rPr>
        <w:t xml:space="preserve">Aprovisionamiento y conservación de materias primas e higiene en la manipulación </w:t>
      </w:r>
      <w:r>
        <w:rPr>
          <w:rFonts w:ascii="Calibri" w:hAnsi="Calibri" w:cs="Calibri"/>
          <w:sz w:val="22"/>
          <w:szCs w:val="22"/>
          <w:u w:val="single"/>
        </w:rPr>
        <w:t>PCPI</w:t>
      </w: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62282E">
        <w:rPr>
          <w:rFonts w:ascii="Calibri" w:hAnsi="Calibri" w:cs="Calibri"/>
          <w:sz w:val="22"/>
          <w:szCs w:val="22"/>
          <w:u w:val="single"/>
        </w:rPr>
        <w:t>Entorno general</w:t>
      </w: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A143EB" w:rsidRDefault="008F7522" w:rsidP="00A143E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A143EB">
        <w:rPr>
          <w:rFonts w:ascii="Calibri" w:hAnsi="Calibri" w:cs="Calibri"/>
          <w:sz w:val="22"/>
          <w:szCs w:val="22"/>
          <w:lang w:eastAsia="es-ES_tradnl"/>
        </w:rPr>
        <w:t>Desarrolla su actividad profesional, como auxiliar o ayudante, tanto en grandes como en medianas y pequeñas empresas, principalmente del sector de hostelería, aunque también puede trabajar por cuenta propia en pequeños establecimientos del subsector de restauración.</w:t>
      </w:r>
    </w:p>
    <w:p w:rsidR="008F7522" w:rsidRPr="0062282E" w:rsidRDefault="008F7522" w:rsidP="008F75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</w:p>
    <w:p w:rsidR="008F7522" w:rsidRPr="00A143EB" w:rsidRDefault="008F7522" w:rsidP="00A143E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A143EB">
        <w:rPr>
          <w:rFonts w:ascii="Calibri" w:hAnsi="Calibri" w:cs="Calibri"/>
          <w:sz w:val="22"/>
          <w:szCs w:val="22"/>
          <w:lang w:eastAsia="es-ES_tradnl"/>
        </w:rPr>
        <w:t>Esta profesión se desenvuelve en sectores y subsectores productivos y de prestación de servicio en los que se desarrollan procesos de preelaboración, elaboración y, en su caso, servicio de alimentos y bebidas, como sería el sector de hostelería y, en su marco, las subáreas de hotelería y restauración (tradicional, moderna y colectiva). También en establecimientos dedicados a la preelaboración y comercialización de alimentos crudos, tiendas especializadas en comidas preparadas, empresas dedicadas al almacenamiento, envasado y distribución de productos alimenticios, etc.</w:t>
      </w:r>
    </w:p>
    <w:p w:rsidR="008F7522" w:rsidRPr="0062282E" w:rsidRDefault="008F7522" w:rsidP="008F75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</w:p>
    <w:p w:rsidR="008F7522" w:rsidRPr="00A143EB" w:rsidRDefault="008F7522" w:rsidP="00A143EB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A143EB">
        <w:rPr>
          <w:rFonts w:ascii="Calibri" w:hAnsi="Calibri" w:cs="Calibri"/>
          <w:sz w:val="22"/>
          <w:szCs w:val="22"/>
          <w:lang w:eastAsia="es-ES_tradnl"/>
        </w:rPr>
        <w:t>Las ocupaciones y puestos de trabajo más relevantes son los siguientes:</w:t>
      </w:r>
    </w:p>
    <w:p w:rsidR="008F7522" w:rsidRPr="0062282E" w:rsidRDefault="008F7522" w:rsidP="008F7522">
      <w:pPr>
        <w:ind w:firstLine="708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62282E">
        <w:rPr>
          <w:rFonts w:ascii="Calibri" w:hAnsi="Calibri" w:cs="Calibri"/>
          <w:sz w:val="22"/>
          <w:szCs w:val="22"/>
          <w:lang w:eastAsia="es-ES_tradnl"/>
        </w:rPr>
        <w:t>a) Ayudante o auxiliar de cocina.</w:t>
      </w:r>
    </w:p>
    <w:p w:rsidR="008F7522" w:rsidRPr="0062282E" w:rsidRDefault="008F7522" w:rsidP="008F7522">
      <w:pPr>
        <w:widowControl w:val="0"/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62282E">
        <w:rPr>
          <w:rFonts w:ascii="Calibri" w:hAnsi="Calibri" w:cs="Calibri"/>
          <w:sz w:val="22"/>
          <w:szCs w:val="22"/>
          <w:lang w:eastAsia="es-ES_tradnl"/>
        </w:rPr>
        <w:t>b) Ayudante de economato de unidades de producción y servicio de alimentos y bebidas.</w:t>
      </w: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  <w:r w:rsidRPr="0062282E">
        <w:rPr>
          <w:rFonts w:ascii="Calibri" w:hAnsi="Calibri" w:cs="Calibri"/>
          <w:sz w:val="22"/>
          <w:szCs w:val="22"/>
          <w:u w:val="single"/>
        </w:rPr>
        <w:t>Objetivos generales</w:t>
      </w:r>
    </w:p>
    <w:p w:rsidR="008F7522" w:rsidRPr="0062282E" w:rsidRDefault="008F7522" w:rsidP="008F7522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:rsidR="008F7522" w:rsidRPr="0062282E" w:rsidRDefault="008F7522" w:rsidP="008F752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62282E">
        <w:rPr>
          <w:rFonts w:ascii="Calibri" w:hAnsi="Calibri" w:cs="Calibri"/>
          <w:sz w:val="22"/>
          <w:szCs w:val="22"/>
          <w:lang w:eastAsia="es-ES_tradnl"/>
        </w:rPr>
        <w:t>Realizar las operaciones básicas de recepción, almacenamiento y distribución de materias primas en condiciones idóneas de mantenimiento hasta su utilización, de acuerdo a las instrucciones recibidas y normas establecidas.</w:t>
      </w:r>
    </w:p>
    <w:p w:rsidR="008F7522" w:rsidRPr="0062282E" w:rsidRDefault="008F7522" w:rsidP="008F7522">
      <w:pPr>
        <w:jc w:val="both"/>
        <w:rPr>
          <w:rFonts w:ascii="Calibri" w:hAnsi="Calibri" w:cs="Calibri"/>
          <w:sz w:val="22"/>
          <w:szCs w:val="22"/>
          <w:lang w:eastAsia="es-ES_tradnl"/>
        </w:rPr>
      </w:pPr>
    </w:p>
    <w:p w:rsidR="008F7522" w:rsidRPr="0062282E" w:rsidRDefault="008F7522" w:rsidP="008F752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62282E">
        <w:rPr>
          <w:rFonts w:ascii="Calibri" w:hAnsi="Calibri" w:cs="Calibri"/>
          <w:sz w:val="22"/>
          <w:szCs w:val="22"/>
          <w:lang w:eastAsia="es-ES_tradnl"/>
        </w:rPr>
        <w:t>Ejecutar los procesos de envasado y/o conservación de acuerdo a las normas establecidas, aplicando los métodos apropiados y utilizando los equipos idóneos, para preservar su calidad y evitar riesgos alimentarios.</w:t>
      </w:r>
    </w:p>
    <w:p w:rsidR="008F7522" w:rsidRPr="0062282E" w:rsidRDefault="008F7522" w:rsidP="008F752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</w:p>
    <w:p w:rsidR="008F7522" w:rsidRPr="0062282E" w:rsidRDefault="008F7522" w:rsidP="008F7522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s-ES_tradnl"/>
        </w:rPr>
      </w:pPr>
      <w:r w:rsidRPr="0062282E">
        <w:rPr>
          <w:rFonts w:ascii="Calibri" w:hAnsi="Calibri" w:cs="Calibri"/>
          <w:sz w:val="22"/>
          <w:szCs w:val="22"/>
          <w:lang w:eastAsia="es-ES_tradnl"/>
        </w:rPr>
        <w:t>Cumplir los protocolos de seguridad laboral y medioambiental, higiene y calidad durante todo el proceso productivo, para evitar daños en las personas y en el medioambiente.</w:t>
      </w:r>
    </w:p>
    <w:p w:rsidR="008F7522" w:rsidRPr="0062282E" w:rsidRDefault="008F7522" w:rsidP="008F7522">
      <w:pPr>
        <w:jc w:val="both"/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8"/>
        <w:gridCol w:w="850"/>
        <w:gridCol w:w="5682"/>
      </w:tblGrid>
      <w:tr w:rsidR="008F7522" w:rsidRPr="0062282E" w:rsidTr="00152A01">
        <w:trPr>
          <w:trHeight w:val="547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Limpieza y desinfección de utillaje, equipos e instalaciones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4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bjetivos específicos</w:t>
            </w:r>
          </w:p>
        </w:tc>
      </w:tr>
      <w:tr w:rsidR="008F7522" w:rsidRPr="0062282E" w:rsidTr="00152A01">
        <w:trPr>
          <w:trHeight w:val="373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763670" w:rsidRDefault="00763670" w:rsidP="00763670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763670" w:rsidRDefault="00763670" w:rsidP="00763670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8F7522" w:rsidRPr="0062282E" w:rsidRDefault="008F7522" w:rsidP="008F752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Conocer los sistemas y métodos de limpieza y desinfección de instalaciones y equipos., así como los productos adecuados a cada tipo de herramientas o superficies.</w:t>
            </w:r>
          </w:p>
          <w:p w:rsidR="008F7522" w:rsidRPr="0062282E" w:rsidRDefault="008F7522" w:rsidP="008F7522">
            <w:pPr>
              <w:numPr>
                <w:ilvl w:val="0"/>
                <w:numId w:val="3"/>
              </w:numPr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 xml:space="preserve">Identificar las causas que pueden provocar la aparición de plagas y conocer las medidas preventivas para evitarlas. </w:t>
            </w:r>
          </w:p>
          <w:p w:rsidR="008F7522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  <w:p w:rsidR="00763670" w:rsidRDefault="00763670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  <w:p w:rsidR="00763670" w:rsidRDefault="00763670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  <w:p w:rsidR="00763670" w:rsidRDefault="00763670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  <w:p w:rsidR="00763670" w:rsidRPr="0062282E" w:rsidRDefault="00763670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61"/>
        </w:trPr>
        <w:tc>
          <w:tcPr>
            <w:tcW w:w="3108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ontenidos</w:t>
            </w:r>
          </w:p>
        </w:tc>
        <w:tc>
          <w:tcPr>
            <w:tcW w:w="850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emas</w:t>
            </w:r>
          </w:p>
        </w:tc>
        <w:tc>
          <w:tcPr>
            <w:tcW w:w="5682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108" w:type="dxa"/>
          </w:tcPr>
          <w:p w:rsidR="00763670" w:rsidRDefault="00763670" w:rsidP="00763670">
            <w:pPr>
              <w:ind w:left="628"/>
              <w:contextualSpacing/>
              <w:jc w:val="both"/>
              <w:rPr>
                <w:rFonts w:ascii="Calibri" w:hAnsi="Calibri" w:cs="Calibri"/>
              </w:rPr>
            </w:pPr>
          </w:p>
          <w:p w:rsidR="00763670" w:rsidRDefault="00763670" w:rsidP="00763670">
            <w:pPr>
              <w:ind w:left="628"/>
              <w:contextualSpacing/>
              <w:jc w:val="both"/>
              <w:rPr>
                <w:rFonts w:ascii="Calibri" w:hAnsi="Calibri" w:cs="Calibri"/>
              </w:rPr>
            </w:pPr>
          </w:p>
          <w:p w:rsidR="008F7522" w:rsidRPr="0062282E" w:rsidRDefault="008F7522" w:rsidP="00763670">
            <w:pPr>
              <w:numPr>
                <w:ilvl w:val="1"/>
                <w:numId w:val="2"/>
              </w:numPr>
              <w:ind w:left="628" w:hanging="425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Concepto y niveles de limpieza.</w:t>
            </w:r>
          </w:p>
          <w:p w:rsidR="008F7522" w:rsidRPr="0062282E" w:rsidRDefault="008F7522" w:rsidP="00763670">
            <w:pPr>
              <w:numPr>
                <w:ilvl w:val="1"/>
                <w:numId w:val="2"/>
              </w:numPr>
              <w:ind w:left="628" w:hanging="425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Normativa sobre limpieza de instalaciones y equipo</w:t>
            </w:r>
          </w:p>
          <w:p w:rsidR="008F7522" w:rsidRPr="0062282E" w:rsidRDefault="008F7522" w:rsidP="00763670">
            <w:pPr>
              <w:numPr>
                <w:ilvl w:val="1"/>
                <w:numId w:val="2"/>
              </w:numPr>
              <w:ind w:left="628" w:hanging="425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Procesos y productos de limpieza</w:t>
            </w:r>
          </w:p>
          <w:p w:rsidR="008F7522" w:rsidRPr="0062282E" w:rsidRDefault="008F7522" w:rsidP="00763670">
            <w:pPr>
              <w:numPr>
                <w:ilvl w:val="1"/>
                <w:numId w:val="2"/>
              </w:numPr>
              <w:ind w:left="628" w:hanging="425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Control de plagas: desinsectación y desratización</w:t>
            </w:r>
          </w:p>
          <w:p w:rsidR="008F7522" w:rsidRPr="0062282E" w:rsidRDefault="008F7522" w:rsidP="00D41BC7">
            <w:pPr>
              <w:pStyle w:val="NormalWeb"/>
              <w:spacing w:before="2" w:after="2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5682" w:type="dxa"/>
          </w:tcPr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han identificado los requisitos higiénico-sanitarios que deben cumplir los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equipos, utillaje e instalaciones de manipulación de alimentos.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evaluado las consecuencias para la inocuidad de los productos y la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seguridad de los consumidores de una limpieza/ desinfección inadecuadas.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han descrito los procedimientos, frecuencias y equipos de limpieza y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desinfección (L+D).</w:t>
            </w:r>
          </w:p>
          <w:p w:rsidR="008F7522" w:rsidRPr="0062282E" w:rsidRDefault="008F7522" w:rsidP="00763670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han descrito los parámetros objeto de control asociados al nivel de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limpieza o desinfección requeridos.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e) Se han reconocido los tratamientos de 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>d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esratización, 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>d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esinsectación y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d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esinfección (DDD).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f) Se han descrito los procedimientos para la recogida y retirada de los residuos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de una unidad de 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manipulación de alimentos.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g) Se han clasificado los productos de limpieza, desinfección y los utilizados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para los tratamientos de DDD y sus condiciones de empleo.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h) Se han evaluado los peligros asociados a la manipulación de productos de limpieza, desinfección y tratamientos DDD.</w:t>
            </w: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7"/>
        <w:gridCol w:w="786"/>
        <w:gridCol w:w="5607"/>
      </w:tblGrid>
      <w:tr w:rsidR="008F7522" w:rsidRPr="0062282E" w:rsidTr="00152A01">
        <w:trPr>
          <w:trHeight w:val="814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Buenas prácticas higiénicas</w:t>
            </w:r>
            <w:r w:rsidRPr="0062282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6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OBJETIVOS ESPECÍFICOS</w:t>
            </w:r>
          </w:p>
        </w:tc>
      </w:tr>
      <w:tr w:rsidR="008F7522" w:rsidRPr="0062282E" w:rsidTr="00152A01">
        <w:trPr>
          <w:trHeight w:val="42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jc w:val="center"/>
              <w:rPr>
                <w:rFonts w:ascii="Calibri" w:hAnsi="Calibri" w:cs="Calibri"/>
                <w:b/>
              </w:rPr>
            </w:pPr>
          </w:p>
          <w:p w:rsidR="008F7522" w:rsidRPr="0062282E" w:rsidRDefault="008F7522" w:rsidP="008F7522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las normas de seguridad e higiene aplicables a los locales e instalaciones, gestión de productos y actitud de los manipuladores</w:t>
            </w:r>
          </w:p>
          <w:p w:rsidR="008F7522" w:rsidRPr="0062282E" w:rsidRDefault="008F7522" w:rsidP="008F7522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Observar las normas y actitudes que debe cumplir un manipulador de alimentos en el ejercicio de su actividad.</w:t>
            </w:r>
          </w:p>
          <w:p w:rsidR="008F7522" w:rsidRPr="0062282E" w:rsidRDefault="008F7522" w:rsidP="008F7522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los riesgos y las causas que pueden provocar intoxicaciones alimentarias y cómo evitarlas.</w:t>
            </w:r>
          </w:p>
          <w:p w:rsidR="008F7522" w:rsidRPr="0062282E" w:rsidRDefault="008F7522" w:rsidP="008F7522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Conocer y poner en práctica los sistemas de autocontrol.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61"/>
        </w:trPr>
        <w:tc>
          <w:tcPr>
            <w:tcW w:w="3247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ontenidos</w:t>
            </w:r>
          </w:p>
        </w:tc>
        <w:tc>
          <w:tcPr>
            <w:tcW w:w="786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emas</w:t>
            </w:r>
          </w:p>
        </w:tc>
        <w:tc>
          <w:tcPr>
            <w:tcW w:w="5607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247" w:type="dxa"/>
          </w:tcPr>
          <w:p w:rsidR="008F7522" w:rsidRPr="0062282E" w:rsidRDefault="008F7522" w:rsidP="00763670">
            <w:pPr>
              <w:numPr>
                <w:ilvl w:val="1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lastRenderedPageBreak/>
              <w:t>Normativa general de higiene aplicable a la actividad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Instalaciones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Equipo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Personal manipulador</w:t>
            </w:r>
          </w:p>
          <w:p w:rsidR="008F7522" w:rsidRPr="0062282E" w:rsidRDefault="008F7522" w:rsidP="00763670">
            <w:pPr>
              <w:numPr>
                <w:ilvl w:val="1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Alteración y contaminación de los alimentos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Los gérmenes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Riesgos e intoxicaciones alimentarias: identificación, causas más comunes y prevención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La contaminación cruzada</w:t>
            </w:r>
          </w:p>
          <w:p w:rsidR="008F7522" w:rsidRPr="0062282E" w:rsidRDefault="008F7522" w:rsidP="00763670">
            <w:pPr>
              <w:numPr>
                <w:ilvl w:val="1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 xml:space="preserve">Sistemas de autocontrol. 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¿Qué es el APPCC?</w:t>
            </w:r>
          </w:p>
          <w:p w:rsidR="008F7522" w:rsidRPr="0062282E" w:rsidRDefault="008F7522" w:rsidP="00763670">
            <w:pPr>
              <w:numPr>
                <w:ilvl w:val="2"/>
                <w:numId w:val="1"/>
              </w:numPr>
              <w:ind w:hanging="720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 xml:space="preserve">Guía de Prácticas Correctas de Higiene </w:t>
            </w:r>
          </w:p>
          <w:p w:rsidR="008F7522" w:rsidRPr="0062282E" w:rsidRDefault="008F7522" w:rsidP="00D41BC7">
            <w:pPr>
              <w:jc w:val="both"/>
              <w:rPr>
                <w:rFonts w:ascii="Calibri" w:hAnsi="Calibri" w:cs="Calibri"/>
              </w:rPr>
            </w:pPr>
          </w:p>
          <w:p w:rsidR="008F7522" w:rsidRPr="0062282E" w:rsidRDefault="008F7522" w:rsidP="00D41BC7">
            <w:pPr>
              <w:pStyle w:val="NormalWeb"/>
              <w:spacing w:before="2" w:after="2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786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07" w:type="dxa"/>
          </w:tcPr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han reconocido las normas higiénico-sanitarias de obligado cumplimiento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relacionadas con las prácticas higiénicas.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identificado los peligros sanitarios asociados a los malos hábitos y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sus medidas de prevención.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han identificado las medidas de higiene personal asociadas a la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manipulación de alimentos.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han reconocido todos aquellos comportamientos o aptitudes susceptibles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de producir una contaminación en los alimentos.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e) Se han enumerado las 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e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nfermedades de obligada declaración.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f) Se ha reconocido la vestimenta de trabajo completa y sus requisitos de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limpieza.</w:t>
            </w:r>
          </w:p>
          <w:p w:rsidR="008F7522" w:rsidRPr="0062282E" w:rsidRDefault="008F7522" w:rsidP="007636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g) Se han identificado los medios de protección de cortes, quemaduras o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heridas del manipulador.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h) Se han reconocido las normas higiénico-sanitarias de obligado cumplimiento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relacionadas con las Prácticas de Manipulación.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i) Se han clasificado y descrito los principales riesgos y toxiinfecciones de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origen alimentario relacionándolas con los agentes causantes.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j) Se ha valorado la repercusión de una mala manipulación de alimentos en la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salud de los consumidores.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k) Se han descrito las principales alteraciones de los alimentos.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l) Se han descrito los diferentes métodos de conservación de alimentos.</w:t>
            </w:r>
          </w:p>
          <w:p w:rsidR="008F7522" w:rsidRPr="0062282E" w:rsidRDefault="008F7522" w:rsidP="00763670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m) Se ha evitado el contacto de materias primas o semielaborados con los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productos procesados.</w:t>
            </w: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82"/>
        <w:gridCol w:w="833"/>
        <w:gridCol w:w="4825"/>
      </w:tblGrid>
      <w:tr w:rsidR="008F7522" w:rsidRPr="0062282E" w:rsidTr="00152A01">
        <w:trPr>
          <w:trHeight w:val="894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Guía de Buenas Prácticas medioambientales en hostelería.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4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bjetivos específicos</w:t>
            </w:r>
          </w:p>
        </w:tc>
      </w:tr>
      <w:tr w:rsidR="008F7522" w:rsidRPr="0062282E" w:rsidTr="00152A01">
        <w:trPr>
          <w:trHeight w:val="36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jc w:val="center"/>
              <w:rPr>
                <w:rFonts w:ascii="Calibri" w:hAnsi="Calibri" w:cs="Calibri"/>
                <w:b/>
              </w:rPr>
            </w:pPr>
          </w:p>
          <w:p w:rsidR="008F7522" w:rsidRPr="0062282E" w:rsidRDefault="008F7522" w:rsidP="008F752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Conocer las medidas a adoptar para la reducción de residuos</w:t>
            </w:r>
          </w:p>
          <w:p w:rsidR="008F7522" w:rsidRPr="0062282E" w:rsidRDefault="008F7522" w:rsidP="008F752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Conocer la los tipos de emisiones y residuos que genera la actividades de hostelería</w:t>
            </w:r>
          </w:p>
          <w:p w:rsidR="008F7522" w:rsidRPr="0062282E" w:rsidRDefault="008F7522" w:rsidP="008F7522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los residuos generados en la actividad hostelera y clasificarlos para su tratamiento y reciclado.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8F7522" w:rsidRPr="0062282E" w:rsidTr="00152A01">
        <w:trPr>
          <w:trHeight w:val="744"/>
        </w:trPr>
        <w:tc>
          <w:tcPr>
            <w:tcW w:w="3982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ontenidos</w:t>
            </w:r>
          </w:p>
        </w:tc>
        <w:tc>
          <w:tcPr>
            <w:tcW w:w="833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emas</w:t>
            </w:r>
          </w:p>
        </w:tc>
        <w:tc>
          <w:tcPr>
            <w:tcW w:w="4825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763670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982" w:type="dxa"/>
          </w:tcPr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lastRenderedPageBreak/>
              <w:t>La actividad de hostelería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Recursos materiales empleados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Emisiones y residuos generados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Residuos sólidos urbanos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Orgánicos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Inorgánicos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Emisiones a la atmósfera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Residuos líquidos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Residuos peligrosos o contaminantes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Residuos voluminosos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Residuos de demolición u obras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Prácticas incorrectas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De los recursos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Contaminación y residuos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 residuos</w:t>
            </w:r>
          </w:p>
          <w:p w:rsidR="008F7522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 espacios</w:t>
            </w:r>
          </w:p>
          <w:p w:rsidR="00A143EB" w:rsidRPr="0062282E" w:rsidRDefault="00A143EB" w:rsidP="00A143EB">
            <w:pPr>
              <w:numPr>
                <w:ilvl w:val="2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</w:p>
          <w:p w:rsidR="00A143EB" w:rsidRDefault="00A143EB" w:rsidP="00A143EB">
            <w:pPr>
              <w:ind w:left="792"/>
              <w:contextualSpacing/>
              <w:jc w:val="both"/>
              <w:rPr>
                <w:rFonts w:ascii="Calibri" w:hAnsi="Calibri" w:cs="Calibri"/>
              </w:rPr>
            </w:pP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Prácticas correctas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1153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 recursos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1153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Materias primas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1153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del agua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1153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 la energía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1153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de residuos</w:t>
            </w:r>
          </w:p>
          <w:p w:rsidR="008F7522" w:rsidRPr="0062282E" w:rsidRDefault="008F7522" w:rsidP="00D41BC7">
            <w:pPr>
              <w:pStyle w:val="NormalWeb"/>
              <w:spacing w:before="2" w:after="2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33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825" w:type="dxa"/>
          </w:tcPr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 relacionado el consumo de cada recurso con el impacto ambiental que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provoca.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definido las ventajas que el concepto de reducción de consumos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aporta a la protección ambiental.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han descrito las ventajas ambientales del concepto de reutilización de los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recursos.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han reconocido aquellas energías y/o recursos cuya utilización sea</w:t>
            </w:r>
            <w:r w:rsidR="00763670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menos perjudicial para el ambiente.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e) Se han caracterizado las diferentes metodologías existentes para el ahorro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de energía y el resto de recursos que se utilicen en la industria alimentaria.</w:t>
            </w:r>
          </w:p>
          <w:p w:rsidR="008F7522" w:rsidRPr="0062282E" w:rsidRDefault="008F7522" w:rsidP="00A143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f) Se han identificado las no-conformidades y las acciones correctivas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relacionadas con el consumo de los recursos.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g) Se han identificado y clasificado los distintos tipos de residuos generados de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acuerdo a su origen, estado y necesidad de reciclaje, depuración o tratamiento.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h) Se han reconocido los efectos ambientales de los residuos, contaminantes y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otras afecciones originadas por la industria alimentaria.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i) Se han descrito las técnicas de recogida, selección, clasificación y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eliminación o vertido de residuos.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j) Se han establecido por orden de importancia las medidas tomadas para la protección ambiental.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k) Se han identificado las no-conformidades y las acciones correctivas relacionadas con la gestión de los residuos.</w:t>
            </w: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33"/>
        <w:gridCol w:w="849"/>
        <w:gridCol w:w="5358"/>
      </w:tblGrid>
      <w:tr w:rsidR="008F7522" w:rsidRPr="0062282E" w:rsidTr="00152A01">
        <w:trPr>
          <w:trHeight w:val="814"/>
        </w:trPr>
        <w:tc>
          <w:tcPr>
            <w:tcW w:w="9640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Envasado y conservación de géneros crudos, semielaborados y elaborados.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4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OBJETIVOS ESPECÍFICOS</w:t>
            </w:r>
          </w:p>
        </w:tc>
      </w:tr>
      <w:tr w:rsidR="008F7522" w:rsidRPr="0062282E" w:rsidTr="00152A01">
        <w:trPr>
          <w:trHeight w:val="293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jc w:val="center"/>
              <w:rPr>
                <w:rFonts w:ascii="Calibri" w:hAnsi="Calibri" w:cs="Calibri"/>
                <w:b/>
              </w:rPr>
            </w:pPr>
          </w:p>
          <w:p w:rsidR="008F7522" w:rsidRPr="0062282E" w:rsidRDefault="008F7522" w:rsidP="008F7522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Conocer y realizar las tareas de conservación de los productos culinarios en las distintas fases de los procesos productivos en cocina.</w:t>
            </w:r>
          </w:p>
          <w:p w:rsidR="008F7522" w:rsidRPr="0062282E" w:rsidRDefault="008F7522" w:rsidP="008F7522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Establecer los criterios de clasificación de productos  y sus necesidades de conservación.</w:t>
            </w:r>
          </w:p>
          <w:p w:rsidR="008F7522" w:rsidRPr="0062282E" w:rsidRDefault="008F7522" w:rsidP="008F7522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los sistemas /métodos de conservación de productos.</w:t>
            </w:r>
          </w:p>
          <w:p w:rsidR="008F7522" w:rsidRPr="0062282E" w:rsidRDefault="008F7522" w:rsidP="008F7522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Asociar los sistemas /métodos de conservación con su adecuación a los distintos productos y equipos necesarios.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61"/>
        </w:trPr>
        <w:tc>
          <w:tcPr>
            <w:tcW w:w="3433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CONTENIDOS</w:t>
            </w:r>
          </w:p>
        </w:tc>
        <w:tc>
          <w:tcPr>
            <w:tcW w:w="849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TEMAS</w:t>
            </w:r>
          </w:p>
        </w:tc>
        <w:tc>
          <w:tcPr>
            <w:tcW w:w="5358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433" w:type="dxa"/>
          </w:tcPr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lastRenderedPageBreak/>
              <w:t>Fase de recepción</w:t>
            </w:r>
          </w:p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Procesos intermedios</w:t>
            </w:r>
          </w:p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Productos terminados</w:t>
            </w:r>
          </w:p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Distribución de  géneros en las cámaras</w:t>
            </w:r>
          </w:p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Métodos habituales de conservación de los alimentos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Conservación por frío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Deshidratación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Salazón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Ahumado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Adobo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Escabeche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Encurtido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 xml:space="preserve">Esterilización 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Pasterización</w:t>
            </w:r>
          </w:p>
          <w:p w:rsidR="008F7522" w:rsidRPr="0062282E" w:rsidRDefault="008F7522" w:rsidP="00D41BC7">
            <w:pPr>
              <w:pStyle w:val="NormalWeb"/>
              <w:spacing w:before="2" w:after="2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49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5358" w:type="dxa"/>
          </w:tcPr>
          <w:p w:rsidR="008F7522" w:rsidRPr="0062282E" w:rsidRDefault="008F7522" w:rsidP="00A143E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han caracterizado los diversos métodos de envasado y conservación, así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como los equipos asociados a cada método.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relacionado las necesidades de envasado y conservación de las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materias primas en cocina con los métodos y equipos.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han ejecutado las técnicas básicas de envasado y conservación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siguiendo los procedimientos establecidos.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han determinado los lugares de conservación idóneos, para los géneros,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hasta el momento de su uso/consumo o destino final.</w:t>
            </w:r>
          </w:p>
          <w:p w:rsidR="008F7522" w:rsidRPr="0062282E" w:rsidRDefault="008F7522" w:rsidP="00A143EB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f) Se han realizado todas las operaciones teniendo en cuenta la normativa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higiénico-sanitaria, de seguridad laboral y de protección medioambiental.</w:t>
            </w: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08"/>
        <w:gridCol w:w="850"/>
        <w:gridCol w:w="5540"/>
      </w:tblGrid>
      <w:tr w:rsidR="008F7522" w:rsidRPr="0062282E" w:rsidTr="00152A01">
        <w:trPr>
          <w:trHeight w:val="1054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Recepción de materias primas</w:t>
            </w:r>
            <w:r w:rsidRPr="0062282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4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bjetivos específicos</w:t>
            </w:r>
          </w:p>
        </w:tc>
      </w:tr>
      <w:tr w:rsidR="008F7522" w:rsidRPr="0062282E" w:rsidTr="00152A01">
        <w:trPr>
          <w:trHeight w:val="2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Reconocer las materias primas, sus características y presentaciones comerciales.</w:t>
            </w:r>
          </w:p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los datos del etiquetado de las materias primas.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8F7522" w:rsidRPr="0062282E" w:rsidTr="00152A01">
        <w:trPr>
          <w:trHeight w:val="361"/>
        </w:trPr>
        <w:tc>
          <w:tcPr>
            <w:tcW w:w="3108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ontenidos</w:t>
            </w:r>
          </w:p>
        </w:tc>
        <w:tc>
          <w:tcPr>
            <w:tcW w:w="850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emas</w:t>
            </w:r>
          </w:p>
        </w:tc>
        <w:tc>
          <w:tcPr>
            <w:tcW w:w="5540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108" w:type="dxa"/>
          </w:tcPr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Materias primas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Identificación y etiquetado de los productos alimentarios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101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Datos que debe incluir la etiqueta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Distintivos de calidad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Presentaciones comerciales</w:t>
            </w:r>
          </w:p>
          <w:p w:rsidR="008F7522" w:rsidRPr="0062282E" w:rsidRDefault="008F7522" w:rsidP="00D41BC7">
            <w:pPr>
              <w:pStyle w:val="NormalWeb"/>
              <w:spacing w:before="2" w:after="2"/>
              <w:ind w:left="7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5540" w:type="dxa"/>
          </w:tcPr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han interpretado las instrucciones recibidas y la documentación asociada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 la recepción de materias primas.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reconocido las materias primas y sus características.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 interpretado el etiquetado de los productos.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 comprobado la coincidencia de cantidad y calidad de lo solicitado con</w:t>
            </w:r>
            <w:r w:rsidR="00A143EB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lo recibido.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e) Se han identificado las necesidades de conservación de las materias primas.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21"/>
        <w:gridCol w:w="833"/>
        <w:gridCol w:w="4744"/>
      </w:tblGrid>
      <w:tr w:rsidR="008F7522" w:rsidRPr="0062282E" w:rsidTr="00152A01">
        <w:trPr>
          <w:trHeight w:val="1054"/>
        </w:trPr>
        <w:tc>
          <w:tcPr>
            <w:tcW w:w="9498" w:type="dxa"/>
            <w:gridSpan w:val="3"/>
            <w:shd w:val="clear" w:color="auto" w:fill="D9D9D9"/>
            <w:vAlign w:val="center"/>
          </w:tcPr>
          <w:p w:rsidR="008F7522" w:rsidRPr="0062282E" w:rsidRDefault="008F7522" w:rsidP="008F7522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b/>
              </w:rPr>
            </w:pPr>
            <w:r w:rsidRPr="0062282E">
              <w:rPr>
                <w:rFonts w:ascii="Calibri" w:hAnsi="Calibri" w:cs="Calibri"/>
                <w:b/>
                <w:sz w:val="22"/>
                <w:szCs w:val="22"/>
              </w:rPr>
              <w:t>Economato y bodega.</w:t>
            </w:r>
          </w:p>
          <w:p w:rsidR="008F7522" w:rsidRPr="0062282E" w:rsidRDefault="008F7522" w:rsidP="00D41BC7">
            <w:pPr>
              <w:ind w:left="36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8F7522" w:rsidRPr="0062282E" w:rsidTr="00152A01">
        <w:trPr>
          <w:trHeight w:val="347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bjetivos específicos</w:t>
            </w:r>
          </w:p>
        </w:tc>
      </w:tr>
      <w:tr w:rsidR="008F7522" w:rsidRPr="0062282E" w:rsidTr="00152A01">
        <w:trPr>
          <w:trHeight w:val="280"/>
        </w:trPr>
        <w:tc>
          <w:tcPr>
            <w:tcW w:w="9498" w:type="dxa"/>
            <w:gridSpan w:val="3"/>
            <w:shd w:val="clear" w:color="auto" w:fill="auto"/>
            <w:vAlign w:val="center"/>
          </w:tcPr>
          <w:p w:rsidR="008F7522" w:rsidRPr="0062282E" w:rsidRDefault="008F7522" w:rsidP="00D41BC7">
            <w:pPr>
              <w:pStyle w:val="Textoindependiente2"/>
              <w:spacing w:before="2" w:after="2"/>
              <w:jc w:val="center"/>
              <w:rPr>
                <w:rFonts w:ascii="Calibri" w:hAnsi="Calibri" w:cs="Calibri"/>
                <w:b/>
                <w:szCs w:val="22"/>
              </w:rPr>
            </w:pPr>
          </w:p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lastRenderedPageBreak/>
              <w:t>Conocer la documentación asociada a la recepción de pedidos.</w:t>
            </w:r>
          </w:p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Reconocer las materias primas, sus características y presentaciones comerciales.</w:t>
            </w:r>
          </w:p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 xml:space="preserve">Determinar las necesidades de conservación de las materias primas y su prioridad de consumo, orden y limpieza. </w:t>
            </w:r>
          </w:p>
          <w:p w:rsidR="008F7522" w:rsidRPr="0062282E" w:rsidRDefault="008F7522" w:rsidP="008F7522">
            <w:pPr>
              <w:numPr>
                <w:ilvl w:val="0"/>
                <w:numId w:val="7"/>
              </w:numPr>
              <w:contextualSpacing/>
              <w:jc w:val="both"/>
              <w:rPr>
                <w:rFonts w:ascii="Calibri" w:hAnsi="Calibri" w:cs="Calibri"/>
                <w:b/>
                <w:u w:val="single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Identificar las normas de las prácticas correctas de higiene en la recepción y almacenaje de las materias primas.</w:t>
            </w:r>
          </w:p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8F7522" w:rsidRPr="0062282E" w:rsidTr="00152A01">
        <w:trPr>
          <w:trHeight w:val="361"/>
        </w:trPr>
        <w:tc>
          <w:tcPr>
            <w:tcW w:w="3921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ontenidos</w:t>
            </w:r>
          </w:p>
        </w:tc>
        <w:tc>
          <w:tcPr>
            <w:tcW w:w="833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emas</w:t>
            </w:r>
          </w:p>
        </w:tc>
        <w:tc>
          <w:tcPr>
            <w:tcW w:w="4744" w:type="dxa"/>
            <w:vAlign w:val="center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="00A143EB"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esultados de aprendizaje y métodos de evaluación</w:t>
            </w:r>
          </w:p>
        </w:tc>
      </w:tr>
      <w:tr w:rsidR="008F7522" w:rsidRPr="0062282E" w:rsidTr="00152A01">
        <w:trPr>
          <w:trHeight w:val="3173"/>
        </w:trPr>
        <w:tc>
          <w:tcPr>
            <w:tcW w:w="3921" w:type="dxa"/>
          </w:tcPr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Economato y bodega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Funciones del economato.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Equipamiento del economato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Zonas de almacenaje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Almacenes refrigerados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Almacenes no refrigerados o economato</w:t>
            </w:r>
          </w:p>
          <w:p w:rsidR="008F7522" w:rsidRPr="0062282E" w:rsidRDefault="008F7522" w:rsidP="00A143EB">
            <w:pPr>
              <w:numPr>
                <w:ilvl w:val="3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Bodega</w:t>
            </w:r>
          </w:p>
          <w:p w:rsidR="008F7522" w:rsidRPr="0062282E" w:rsidRDefault="008F7522" w:rsidP="00A143EB">
            <w:pPr>
              <w:numPr>
                <w:ilvl w:val="1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Recepción de géneros</w:t>
            </w:r>
          </w:p>
          <w:p w:rsidR="008F7522" w:rsidRPr="0062282E" w:rsidRDefault="008F7522" w:rsidP="00A143EB">
            <w:pPr>
              <w:numPr>
                <w:ilvl w:val="2"/>
                <w:numId w:val="1"/>
              </w:numPr>
              <w:ind w:hanging="721"/>
              <w:contextualSpacing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Operaciones y comprobaciones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Normas básicas para el almacenaje de productos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Gestión en la recepción y almacenaje</w:t>
            </w:r>
          </w:p>
          <w:p w:rsidR="008F7522" w:rsidRPr="0062282E" w:rsidRDefault="008F7522" w:rsidP="008F7522">
            <w:pPr>
              <w:numPr>
                <w:ilvl w:val="3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Ficha de control diario de temperaturas</w:t>
            </w:r>
          </w:p>
          <w:p w:rsidR="008F7522" w:rsidRPr="0062282E" w:rsidRDefault="008F7522" w:rsidP="008F7522">
            <w:pPr>
              <w:numPr>
                <w:ilvl w:val="3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Ficha de control semanal de temperaturas</w:t>
            </w:r>
          </w:p>
          <w:p w:rsidR="008F7522" w:rsidRPr="0062282E" w:rsidRDefault="008F7522" w:rsidP="008F7522">
            <w:pPr>
              <w:numPr>
                <w:ilvl w:val="1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Documentos relacionados con las operaciones de recepción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Entradas y salidas</w:t>
            </w:r>
          </w:p>
          <w:p w:rsidR="008F7522" w:rsidRPr="0062282E" w:rsidRDefault="008F7522" w:rsidP="008F7522">
            <w:pPr>
              <w:numPr>
                <w:ilvl w:val="2"/>
                <w:numId w:val="1"/>
              </w:numPr>
              <w:contextualSpacing/>
              <w:jc w:val="both"/>
              <w:rPr>
                <w:rFonts w:ascii="Calibri" w:hAnsi="Calibri" w:cs="Calibri"/>
              </w:rPr>
            </w:pPr>
            <w:r w:rsidRPr="0062282E">
              <w:rPr>
                <w:rFonts w:ascii="Calibri" w:hAnsi="Calibri" w:cs="Calibri"/>
                <w:sz w:val="22"/>
                <w:szCs w:val="22"/>
              </w:rPr>
              <w:t>Registros</w:t>
            </w:r>
          </w:p>
          <w:p w:rsidR="008F7522" w:rsidRPr="0062282E" w:rsidRDefault="008F7522" w:rsidP="00D41BC7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33" w:type="dxa"/>
          </w:tcPr>
          <w:p w:rsidR="008F7522" w:rsidRPr="0062282E" w:rsidRDefault="008F7522" w:rsidP="00D41BC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</w:rPr>
            </w:pPr>
            <w:r w:rsidRPr="0062282E">
              <w:rPr>
                <w:rFonts w:ascii="Calibri" w:eastAsia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4744" w:type="dxa"/>
          </w:tcPr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a) Se han almacenado las materias primas en el lugar apropiado para su conservación atendiendo a normas establecidas e instrucciones recibidas.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b) Se han colocado las materias primas en función de la prioridad en su consumo.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c) Se ha mantenido el almacén en condiciones de orden y limpieza.</w:t>
            </w:r>
          </w:p>
          <w:p w:rsidR="008F7522" w:rsidRPr="0062282E" w:rsidRDefault="008F7522" w:rsidP="00D41B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eastAsia="es-ES_tradnl"/>
              </w:rPr>
            </w:pPr>
            <w:r w:rsidRPr="0062282E">
              <w:rPr>
                <w:rFonts w:ascii="Calibri" w:hAnsi="Calibri" w:cs="Calibri"/>
                <w:sz w:val="22"/>
                <w:szCs w:val="22"/>
                <w:lang w:eastAsia="es-ES_tradnl"/>
              </w:rPr>
              <w:t>d) Se han realizado todas las operaciones teniendo en cuenta la normativa higiénico-sanitaria, de seguridad laboral y de protección medioambiental.</w:t>
            </w:r>
          </w:p>
        </w:tc>
      </w:tr>
    </w:tbl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jc w:val="both"/>
        <w:rPr>
          <w:rFonts w:ascii="Calibri" w:hAnsi="Calibri" w:cs="Calibri"/>
          <w:sz w:val="22"/>
          <w:szCs w:val="22"/>
        </w:rPr>
      </w:pPr>
    </w:p>
    <w:p w:rsidR="008F7522" w:rsidRPr="0062282E" w:rsidRDefault="008F7522" w:rsidP="008F7522">
      <w:pPr>
        <w:rPr>
          <w:rFonts w:ascii="Calibri" w:hAnsi="Calibri" w:cs="Calibri"/>
          <w:sz w:val="22"/>
          <w:szCs w:val="22"/>
        </w:rPr>
      </w:pPr>
    </w:p>
    <w:p w:rsidR="002728FC" w:rsidRDefault="002728FC"/>
    <w:sectPr w:rsidR="002728FC" w:rsidSect="008F7522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pgBorders w:offsetFrom="page">
        <w:top w:val="basicWideMidline" w:sz="8" w:space="24" w:color="943634" w:themeColor="accent2" w:themeShade="BF"/>
        <w:left w:val="basicWideMidline" w:sz="8" w:space="24" w:color="943634" w:themeColor="accent2" w:themeShade="BF"/>
        <w:bottom w:val="basicWideMidline" w:sz="8" w:space="24" w:color="943634" w:themeColor="accent2" w:themeShade="BF"/>
        <w:right w:val="basicWideMidline" w:sz="8" w:space="24" w:color="943634" w:themeColor="accent2" w:themeShade="BF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9E5" w:rsidRDefault="00EF29E5" w:rsidP="008F7522">
      <w:r>
        <w:separator/>
      </w:r>
    </w:p>
  </w:endnote>
  <w:endnote w:type="continuationSeparator" w:id="0">
    <w:p w:rsidR="00EF29E5" w:rsidRDefault="00EF29E5" w:rsidP="008F7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LT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7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329"/>
      <w:gridCol w:w="7301"/>
    </w:tblGrid>
    <w:tr w:rsidR="008F7522" w:rsidTr="008F7522">
      <w:tc>
        <w:tcPr>
          <w:tcW w:w="2805" w:type="pct"/>
        </w:tcPr>
        <w:p w:rsidR="008F7522" w:rsidRPr="008F7522" w:rsidRDefault="008F7522">
          <w:pPr>
            <w:pStyle w:val="Piedepgina"/>
            <w:jc w:val="right"/>
            <w:rPr>
              <w:rFonts w:asciiTheme="minorHAnsi" w:hAnsiTheme="minorHAnsi" w:cstheme="minorHAnsi"/>
              <w:b/>
              <w:color w:val="943634" w:themeColor="accent2" w:themeShade="BF"/>
            </w:rPr>
          </w:pPr>
          <w:r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t xml:space="preserve">©Ediciones Paraninfo             </w:t>
          </w:r>
          <w:r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t xml:space="preserve">                                  </w:t>
          </w:r>
          <w:r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t xml:space="preserve">                                                                                                             </w:t>
          </w:r>
          <w:r w:rsidR="00265309"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fldChar w:fldCharType="begin"/>
          </w:r>
          <w:r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instrText xml:space="preserve"> PAGE   \* MERGEFORMAT </w:instrText>
          </w:r>
          <w:r w:rsidR="00265309"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fldChar w:fldCharType="separate"/>
          </w:r>
          <w:r w:rsidR="00013BC6">
            <w:rPr>
              <w:rFonts w:asciiTheme="minorHAnsi" w:hAnsiTheme="minorHAnsi" w:cstheme="minorHAnsi"/>
              <w:b/>
              <w:noProof/>
              <w:color w:val="943634" w:themeColor="accent2" w:themeShade="BF"/>
              <w:sz w:val="20"/>
            </w:rPr>
            <w:t>2</w:t>
          </w:r>
          <w:r w:rsidR="00265309" w:rsidRPr="008F7522">
            <w:rPr>
              <w:rFonts w:asciiTheme="minorHAnsi" w:hAnsiTheme="minorHAnsi" w:cstheme="minorHAnsi"/>
              <w:b/>
              <w:color w:val="943634" w:themeColor="accent2" w:themeShade="BF"/>
              <w:sz w:val="20"/>
            </w:rPr>
            <w:fldChar w:fldCharType="end"/>
          </w:r>
        </w:p>
      </w:tc>
      <w:tc>
        <w:tcPr>
          <w:tcW w:w="2195" w:type="pct"/>
        </w:tcPr>
        <w:p w:rsidR="008F7522" w:rsidRDefault="008F7522">
          <w:pPr>
            <w:pStyle w:val="Piedepgina"/>
            <w:rPr>
              <w:color w:val="4F81BD" w:themeColor="accent1"/>
            </w:rPr>
          </w:pPr>
        </w:p>
      </w:tc>
    </w:tr>
  </w:tbl>
  <w:p w:rsidR="0062282E" w:rsidRDefault="00EF29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9E5" w:rsidRDefault="00EF29E5" w:rsidP="008F7522">
      <w:r>
        <w:separator/>
      </w:r>
    </w:p>
  </w:footnote>
  <w:footnote w:type="continuationSeparator" w:id="0">
    <w:p w:rsidR="00EF29E5" w:rsidRDefault="00EF29E5" w:rsidP="008F75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2E" w:rsidRPr="008F7522" w:rsidRDefault="00265309">
    <w:pPr>
      <w:pStyle w:val="Encabezado"/>
      <w:rPr>
        <w:rFonts w:ascii="Calibri" w:hAnsi="Calibri" w:cs="Calibri"/>
        <w:b/>
        <w:color w:val="943634" w:themeColor="accent2" w:themeShade="BF"/>
        <w:lang w:val="es-ES"/>
      </w:rPr>
    </w:pPr>
    <w:r>
      <w:rPr>
        <w:rFonts w:ascii="Calibri" w:hAnsi="Calibri" w:cs="Calibri"/>
        <w:b/>
        <w:noProof/>
        <w:color w:val="943634" w:themeColor="accent2" w:themeShade="BF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.85pt;margin-top:15.6pt;width:434.4pt;height:0;z-index:251658240" o:connectortype="straight" strokecolor="#c00000"/>
      </w:pict>
    </w:r>
    <w:r w:rsidR="00515A2E" w:rsidRPr="008F7522">
      <w:rPr>
        <w:rFonts w:ascii="Calibri" w:hAnsi="Calibri" w:cs="Calibri"/>
        <w:b/>
        <w:color w:val="943634" w:themeColor="accent2" w:themeShade="BF"/>
        <w:lang w:val="es-ES"/>
      </w:rPr>
      <w:t>Paraninfo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3CF"/>
    <w:multiLevelType w:val="hybridMultilevel"/>
    <w:tmpl w:val="DCA425CE"/>
    <w:lvl w:ilvl="0" w:tplc="08F271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UniversLTStd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UniversLTStd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UniversLTStd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E7FFB"/>
    <w:multiLevelType w:val="hybridMultilevel"/>
    <w:tmpl w:val="03B0CB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C07"/>
    <w:multiLevelType w:val="multilevel"/>
    <w:tmpl w:val="CACEB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4058F3"/>
    <w:multiLevelType w:val="hybridMultilevel"/>
    <w:tmpl w:val="52D2CB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60BB1"/>
    <w:multiLevelType w:val="hybridMultilevel"/>
    <w:tmpl w:val="EB1E8A3E"/>
    <w:lvl w:ilvl="0" w:tplc="A6B2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E064D"/>
    <w:multiLevelType w:val="hybridMultilevel"/>
    <w:tmpl w:val="BFBC3A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895E4C"/>
    <w:multiLevelType w:val="hybridMultilevel"/>
    <w:tmpl w:val="A314D93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423C5"/>
    <w:multiLevelType w:val="hybridMultilevel"/>
    <w:tmpl w:val="07327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F75D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0E2B65"/>
    <w:multiLevelType w:val="hybridMultilevel"/>
    <w:tmpl w:val="1C5C678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strokecolor="#c00000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7522"/>
    <w:rsid w:val="00013BC6"/>
    <w:rsid w:val="00152A01"/>
    <w:rsid w:val="00265309"/>
    <w:rsid w:val="002728FC"/>
    <w:rsid w:val="00515A2E"/>
    <w:rsid w:val="00763670"/>
    <w:rsid w:val="007A1715"/>
    <w:rsid w:val="008F7522"/>
    <w:rsid w:val="00A143EB"/>
    <w:rsid w:val="00C3578D"/>
    <w:rsid w:val="00EC6A25"/>
    <w:rsid w:val="00EF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2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7522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8F7522"/>
    <w:rPr>
      <w:rFonts w:ascii="Times New Roman" w:eastAsia="Times New Roman" w:hAnsi="Times New Roman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F752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F7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F7522"/>
    <w:rPr>
      <w:rFonts w:ascii="Cambria" w:eastAsia="Cambria" w:hAnsi="Cambria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8F7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22"/>
    <w:rPr>
      <w:rFonts w:ascii="Cambria" w:eastAsia="Cambria" w:hAnsi="Cambria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A143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A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A01"/>
    <w:rPr>
      <w:rFonts w:ascii="Tahoma" w:eastAsia="Cambri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Carmen.Lara</dc:creator>
  <cp:lastModifiedBy>Carmen.Lara</cp:lastModifiedBy>
  <cp:revision>5</cp:revision>
  <dcterms:created xsi:type="dcterms:W3CDTF">2012-05-08T15:31:00Z</dcterms:created>
  <dcterms:modified xsi:type="dcterms:W3CDTF">2012-05-10T06:40:00Z</dcterms:modified>
</cp:coreProperties>
</file>